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537A65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4C76B6">
        <w:rPr>
          <w:rFonts w:ascii="Arial" w:hAnsi="Arial" w:cs="Arial"/>
          <w:b/>
          <w:sz w:val="20"/>
          <w:szCs w:val="20"/>
        </w:rPr>
        <w:t xml:space="preserve">Board resolution </w:t>
      </w:r>
      <w:r>
        <w:rPr>
          <w:rFonts w:ascii="Arial" w:hAnsi="Arial" w:cs="Arial"/>
          <w:b/>
          <w:sz w:val="20"/>
          <w:szCs w:val="20"/>
        </w:rPr>
        <w:t xml:space="preserve">on 2019 dividend payment </w:t>
      </w:r>
    </w:p>
    <w:p w:rsidR="002F6AA2" w:rsidRDefault="00B70D7E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37A65">
        <w:rPr>
          <w:rFonts w:ascii="Arial" w:hAnsi="Arial" w:cs="Arial"/>
          <w:sz w:val="20"/>
          <w:szCs w:val="20"/>
        </w:rPr>
        <w:t>20</w:t>
      </w:r>
      <w:r w:rsidR="00E91C4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537A65" w:rsidRPr="00537A65">
        <w:rPr>
          <w:rFonts w:ascii="Arial" w:hAnsi="Arial" w:cs="Arial"/>
          <w:sz w:val="20"/>
          <w:szCs w:val="20"/>
        </w:rPr>
        <w:t>NETLAND Real Estate Joint Stock Company</w:t>
      </w:r>
      <w:r w:rsidR="00537A65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4C76B6">
        <w:rPr>
          <w:rFonts w:ascii="Arial" w:hAnsi="Arial" w:cs="Arial"/>
          <w:sz w:val="20"/>
          <w:szCs w:val="20"/>
        </w:rPr>
        <w:t xml:space="preserve">Board resolution </w:t>
      </w:r>
      <w:r w:rsidR="00537A65">
        <w:rPr>
          <w:rFonts w:ascii="Arial" w:hAnsi="Arial" w:cs="Arial"/>
          <w:sz w:val="20"/>
          <w:szCs w:val="20"/>
        </w:rPr>
        <w:t xml:space="preserve">on 2019 dividend payment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 xml:space="preserve">Article 1: Approve the implementation of </w:t>
      </w:r>
      <w:r>
        <w:rPr>
          <w:rFonts w:ascii="Arial" w:hAnsi="Arial" w:cs="Arial"/>
          <w:sz w:val="20"/>
          <w:szCs w:val="20"/>
        </w:rPr>
        <w:t xml:space="preserve">2019 </w:t>
      </w:r>
      <w:r w:rsidRPr="00537A65">
        <w:rPr>
          <w:rFonts w:ascii="Arial" w:hAnsi="Arial" w:cs="Arial"/>
          <w:sz w:val="20"/>
          <w:szCs w:val="20"/>
        </w:rPr>
        <w:t xml:space="preserve">cash dividend payment </w:t>
      </w:r>
      <w:r>
        <w:rPr>
          <w:rFonts w:ascii="Arial" w:hAnsi="Arial" w:cs="Arial"/>
          <w:sz w:val="20"/>
          <w:szCs w:val="20"/>
        </w:rPr>
        <w:t>to</w:t>
      </w:r>
      <w:r w:rsidRPr="00537A65">
        <w:rPr>
          <w:rFonts w:ascii="Arial" w:hAnsi="Arial" w:cs="Arial"/>
          <w:sz w:val="20"/>
          <w:szCs w:val="20"/>
        </w:rPr>
        <w:t xml:space="preserve"> shareholders</w:t>
      </w:r>
      <w:r>
        <w:rPr>
          <w:rFonts w:ascii="Arial" w:hAnsi="Arial" w:cs="Arial"/>
          <w:sz w:val="20"/>
          <w:szCs w:val="20"/>
        </w:rPr>
        <w:t xml:space="preserve"> owning</w:t>
      </w:r>
      <w:r w:rsidRPr="00537A65">
        <w:rPr>
          <w:rFonts w:ascii="Arial" w:hAnsi="Arial" w:cs="Arial"/>
          <w:sz w:val="20"/>
          <w:szCs w:val="20"/>
        </w:rPr>
        <w:t xml:space="preserve"> shares </w:t>
      </w:r>
      <w:r>
        <w:rPr>
          <w:rFonts w:ascii="Arial" w:hAnsi="Arial" w:cs="Arial"/>
          <w:sz w:val="20"/>
          <w:szCs w:val="20"/>
        </w:rPr>
        <w:t>of</w:t>
      </w:r>
      <w:r w:rsidRPr="00537A65">
        <w:rPr>
          <w:rFonts w:ascii="Arial" w:hAnsi="Arial" w:cs="Arial"/>
          <w:sz w:val="20"/>
          <w:szCs w:val="20"/>
        </w:rPr>
        <w:t xml:space="preserve"> </w:t>
      </w:r>
      <w:r w:rsidRPr="00537A65">
        <w:rPr>
          <w:rFonts w:ascii="Arial" w:hAnsi="Arial" w:cs="Arial"/>
          <w:sz w:val="20"/>
          <w:szCs w:val="20"/>
        </w:rPr>
        <w:t>NETLAND Real Estate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537A65">
        <w:rPr>
          <w:rFonts w:ascii="Arial" w:hAnsi="Arial" w:cs="Arial"/>
          <w:sz w:val="20"/>
          <w:szCs w:val="20"/>
        </w:rPr>
        <w:t xml:space="preserve">as follows: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name: Share</w:t>
      </w:r>
      <w:r w:rsidRPr="00537A65">
        <w:rPr>
          <w:rFonts w:ascii="Arial" w:hAnsi="Arial" w:cs="Arial"/>
          <w:sz w:val="20"/>
          <w:szCs w:val="20"/>
        </w:rPr>
        <w:t xml:space="preserve"> of NETLAND Real Estate Joint Stock Company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 xml:space="preserve">Stock code: NRC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>Stock type: Com</w:t>
      </w:r>
      <w:r>
        <w:rPr>
          <w:rFonts w:ascii="Arial" w:hAnsi="Arial" w:cs="Arial"/>
          <w:sz w:val="20"/>
          <w:szCs w:val="20"/>
        </w:rPr>
        <w:t xml:space="preserve">mon stock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value: VND 10,000/ share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 xml:space="preserve">Trading floor: Hanoi Stock Exchange (HNX)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 xml:space="preserve">Payment method: Cash or bank transfer 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Dividend payment ratio: 5%</w:t>
      </w:r>
      <w:r w:rsidRPr="00537A65">
        <w:rPr>
          <w:rFonts w:ascii="Arial" w:hAnsi="Arial" w:cs="Arial"/>
          <w:sz w:val="20"/>
          <w:szCs w:val="20"/>
        </w:rPr>
        <w:t xml:space="preserve">/ share (01 </w:t>
      </w:r>
      <w:r>
        <w:rPr>
          <w:rFonts w:ascii="Arial" w:hAnsi="Arial" w:cs="Arial"/>
          <w:sz w:val="20"/>
          <w:szCs w:val="20"/>
        </w:rPr>
        <w:t xml:space="preserve">share </w:t>
      </w:r>
      <w:r w:rsidRPr="00537A65">
        <w:rPr>
          <w:rFonts w:ascii="Arial" w:hAnsi="Arial" w:cs="Arial"/>
          <w:sz w:val="20"/>
          <w:szCs w:val="20"/>
        </w:rPr>
        <w:t>receive</w:t>
      </w:r>
      <w:r>
        <w:rPr>
          <w:rFonts w:ascii="Arial" w:hAnsi="Arial" w:cs="Arial"/>
          <w:sz w:val="20"/>
          <w:szCs w:val="20"/>
        </w:rPr>
        <w:t>s</w:t>
      </w:r>
      <w:r w:rsidRPr="00537A65">
        <w:rPr>
          <w:rFonts w:ascii="Arial" w:hAnsi="Arial" w:cs="Arial"/>
          <w:sz w:val="20"/>
          <w:szCs w:val="20"/>
        </w:rPr>
        <w:t xml:space="preserve"> VND 500)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 xml:space="preserve">Total payment: VND 13,799,966,000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 date</w:t>
      </w:r>
      <w:r w:rsidRPr="00537A65">
        <w:rPr>
          <w:rFonts w:ascii="Arial" w:hAnsi="Arial" w:cs="Arial"/>
          <w:sz w:val="20"/>
          <w:szCs w:val="20"/>
        </w:rPr>
        <w:t xml:space="preserve">: July 31, 2020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Dividend payment time</w:t>
      </w:r>
      <w:r w:rsidRPr="00537A6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from </w:t>
      </w:r>
      <w:r w:rsidRPr="00537A65">
        <w:rPr>
          <w:rFonts w:ascii="Arial" w:hAnsi="Arial" w:cs="Arial"/>
          <w:sz w:val="20"/>
          <w:szCs w:val="20"/>
        </w:rPr>
        <w:t xml:space="preserve">December 22, 2020 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>For shareholders whose shares have been deposited: Shareholders make</w:t>
      </w:r>
      <w:r>
        <w:rPr>
          <w:rFonts w:ascii="Arial" w:hAnsi="Arial" w:cs="Arial"/>
          <w:sz w:val="20"/>
          <w:szCs w:val="20"/>
        </w:rPr>
        <w:t xml:space="preserve"> procedures to receive dividend</w:t>
      </w:r>
      <w:r w:rsidRPr="00537A65">
        <w:rPr>
          <w:rFonts w:ascii="Arial" w:hAnsi="Arial" w:cs="Arial"/>
          <w:sz w:val="20"/>
          <w:szCs w:val="20"/>
        </w:rPr>
        <w:t xml:space="preserve"> at Securities com</w:t>
      </w:r>
      <w:r>
        <w:rPr>
          <w:rFonts w:ascii="Arial" w:hAnsi="Arial" w:cs="Arial"/>
          <w:sz w:val="20"/>
          <w:szCs w:val="20"/>
        </w:rPr>
        <w:t>panies where depository accounts are opened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>For shareholders whose shares have not been deposited</w:t>
      </w:r>
      <w:r>
        <w:rPr>
          <w:rFonts w:ascii="Arial" w:hAnsi="Arial" w:cs="Arial"/>
          <w:sz w:val="20"/>
          <w:szCs w:val="20"/>
        </w:rPr>
        <w:t>: Shareholders receive dividend</w:t>
      </w:r>
      <w:r w:rsidRPr="00537A65">
        <w:rPr>
          <w:rFonts w:ascii="Arial" w:hAnsi="Arial" w:cs="Arial"/>
          <w:sz w:val="20"/>
          <w:szCs w:val="20"/>
        </w:rPr>
        <w:t xml:space="preserve"> at </w:t>
      </w:r>
      <w:r w:rsidRPr="00537A65">
        <w:rPr>
          <w:rFonts w:ascii="Arial" w:hAnsi="Arial" w:cs="Arial"/>
          <w:sz w:val="20"/>
          <w:szCs w:val="20"/>
        </w:rPr>
        <w:t>NETLAND Real Estate Joint Stock Company,</w:t>
      </w:r>
      <w:r>
        <w:rPr>
          <w:rFonts w:ascii="Arial" w:hAnsi="Arial" w:cs="Arial"/>
          <w:sz w:val="20"/>
          <w:szCs w:val="20"/>
        </w:rPr>
        <w:t xml:space="preserve"> 6th floor, No.</w:t>
      </w:r>
      <w:r w:rsidRPr="00537A65">
        <w:rPr>
          <w:rFonts w:ascii="Arial" w:hAnsi="Arial" w:cs="Arial"/>
          <w:sz w:val="20"/>
          <w:szCs w:val="20"/>
        </w:rPr>
        <w:t xml:space="preserve">3 Tran </w:t>
      </w:r>
      <w:proofErr w:type="spellStart"/>
      <w:r w:rsidRPr="00537A65">
        <w:rPr>
          <w:rFonts w:ascii="Arial" w:hAnsi="Arial" w:cs="Arial"/>
          <w:sz w:val="20"/>
          <w:szCs w:val="20"/>
        </w:rPr>
        <w:t>Nhat</w:t>
      </w:r>
      <w:proofErr w:type="spellEnd"/>
      <w:r w:rsidRPr="00537A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7A65">
        <w:rPr>
          <w:rFonts w:ascii="Arial" w:hAnsi="Arial" w:cs="Arial"/>
          <w:sz w:val="20"/>
          <w:szCs w:val="20"/>
        </w:rPr>
        <w:t>Duat</w:t>
      </w:r>
      <w:proofErr w:type="spellEnd"/>
      <w:r w:rsidRPr="00537A65">
        <w:rPr>
          <w:rFonts w:ascii="Arial" w:hAnsi="Arial" w:cs="Arial"/>
          <w:sz w:val="20"/>
          <w:szCs w:val="20"/>
        </w:rPr>
        <w:t xml:space="preserve">, Tan </w:t>
      </w:r>
      <w:proofErr w:type="spellStart"/>
      <w:r w:rsidRPr="00537A65">
        <w:rPr>
          <w:rFonts w:ascii="Arial" w:hAnsi="Arial" w:cs="Arial"/>
          <w:sz w:val="20"/>
          <w:szCs w:val="20"/>
        </w:rPr>
        <w:t>Dinh</w:t>
      </w:r>
      <w:proofErr w:type="spellEnd"/>
      <w:r w:rsidRPr="00537A65">
        <w:rPr>
          <w:rFonts w:ascii="Arial" w:hAnsi="Arial" w:cs="Arial"/>
          <w:sz w:val="20"/>
          <w:szCs w:val="20"/>
        </w:rPr>
        <w:t xml:space="preserve"> Ward, District 1, H</w:t>
      </w:r>
      <w:r>
        <w:rPr>
          <w:rFonts w:ascii="Arial" w:hAnsi="Arial" w:cs="Arial"/>
          <w:sz w:val="20"/>
          <w:szCs w:val="20"/>
        </w:rPr>
        <w:t>o Chi Minh City on working days</w:t>
      </w:r>
      <w:r w:rsidRPr="00537A65">
        <w:rPr>
          <w:rFonts w:ascii="Arial" w:hAnsi="Arial" w:cs="Arial"/>
          <w:sz w:val="20"/>
          <w:szCs w:val="20"/>
        </w:rPr>
        <w:t xml:space="preserve"> in the week beginning on </w:t>
      </w:r>
      <w:r>
        <w:rPr>
          <w:rFonts w:ascii="Arial" w:hAnsi="Arial" w:cs="Arial"/>
          <w:sz w:val="20"/>
          <w:szCs w:val="20"/>
        </w:rPr>
        <w:t>22 Dec 2020.</w:t>
      </w:r>
      <w:r w:rsidRPr="00537A65">
        <w:rPr>
          <w:rFonts w:ascii="Arial" w:hAnsi="Arial" w:cs="Arial"/>
          <w:sz w:val="20"/>
          <w:szCs w:val="20"/>
        </w:rPr>
        <w:t xml:space="preserve"> Shareholders must present identity card/ </w:t>
      </w:r>
      <w:r>
        <w:rPr>
          <w:rFonts w:ascii="Arial" w:hAnsi="Arial" w:cs="Arial"/>
          <w:sz w:val="20"/>
          <w:szCs w:val="20"/>
        </w:rPr>
        <w:t>ownership certificate</w:t>
      </w:r>
      <w:r w:rsidRPr="00537A65">
        <w:rPr>
          <w:rFonts w:ascii="Arial" w:hAnsi="Arial" w:cs="Arial"/>
          <w:sz w:val="20"/>
          <w:szCs w:val="20"/>
        </w:rPr>
        <w:t xml:space="preserve"> to receive dividend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37A65">
        <w:rPr>
          <w:rFonts w:ascii="Arial" w:hAnsi="Arial" w:cs="Arial"/>
          <w:sz w:val="20"/>
          <w:szCs w:val="20"/>
        </w:rPr>
        <w:t xml:space="preserve"> Income tax from dividend a</w:t>
      </w:r>
      <w:r>
        <w:rPr>
          <w:rFonts w:ascii="Arial" w:hAnsi="Arial" w:cs="Arial"/>
          <w:sz w:val="20"/>
          <w:szCs w:val="20"/>
        </w:rPr>
        <w:t>ccording to current regulations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 xml:space="preserve">Article 2: </w:t>
      </w:r>
      <w:r>
        <w:rPr>
          <w:rFonts w:ascii="Arial" w:hAnsi="Arial" w:cs="Arial"/>
          <w:sz w:val="20"/>
          <w:szCs w:val="20"/>
        </w:rPr>
        <w:t>Approve authorization for</w:t>
      </w:r>
      <w:r w:rsidRPr="00537A65">
        <w:rPr>
          <w:rFonts w:ascii="Arial" w:hAnsi="Arial" w:cs="Arial"/>
          <w:sz w:val="20"/>
          <w:szCs w:val="20"/>
        </w:rPr>
        <w:t xml:space="preserve"> Chairman of the Boa</w:t>
      </w:r>
      <w:r>
        <w:rPr>
          <w:rFonts w:ascii="Arial" w:hAnsi="Arial" w:cs="Arial"/>
          <w:sz w:val="20"/>
          <w:szCs w:val="20"/>
        </w:rPr>
        <w:t>rd of Directors to pay 2019 dividend in cash to</w:t>
      </w:r>
      <w:r w:rsidRPr="00537A65">
        <w:rPr>
          <w:rFonts w:ascii="Arial" w:hAnsi="Arial" w:cs="Arial"/>
          <w:sz w:val="20"/>
          <w:szCs w:val="20"/>
        </w:rPr>
        <w:t xml:space="preserve"> the Company's shareholders in accordance with the provisions</w:t>
      </w:r>
      <w:r>
        <w:rPr>
          <w:rFonts w:ascii="Arial" w:hAnsi="Arial" w:cs="Arial"/>
          <w:sz w:val="20"/>
          <w:szCs w:val="20"/>
        </w:rPr>
        <w:t xml:space="preserve"> of the current Charter and law</w:t>
      </w:r>
    </w:p>
    <w:p w:rsidR="00537A65" w:rsidRDefault="00537A65" w:rsidP="004C76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7A65">
        <w:rPr>
          <w:rFonts w:ascii="Arial" w:hAnsi="Arial" w:cs="Arial"/>
          <w:sz w:val="20"/>
          <w:szCs w:val="20"/>
        </w:rPr>
        <w:t>Article 3: This Resolution takes</w:t>
      </w:r>
      <w:r>
        <w:rPr>
          <w:rFonts w:ascii="Arial" w:hAnsi="Arial" w:cs="Arial"/>
          <w:sz w:val="20"/>
          <w:szCs w:val="20"/>
        </w:rPr>
        <w:t xml:space="preserve"> effect from the signing date. </w:t>
      </w:r>
      <w:r w:rsidRPr="00537A65">
        <w:rPr>
          <w:rFonts w:ascii="Arial" w:hAnsi="Arial" w:cs="Arial"/>
          <w:sz w:val="20"/>
          <w:szCs w:val="20"/>
        </w:rPr>
        <w:t xml:space="preserve">The Board of Directors, the </w:t>
      </w:r>
      <w:r>
        <w:rPr>
          <w:rFonts w:ascii="Arial" w:hAnsi="Arial" w:cs="Arial"/>
          <w:sz w:val="20"/>
          <w:szCs w:val="20"/>
        </w:rPr>
        <w:t>Management Board</w:t>
      </w:r>
      <w:r w:rsidRPr="00537A65">
        <w:rPr>
          <w:rFonts w:ascii="Arial" w:hAnsi="Arial" w:cs="Arial"/>
          <w:sz w:val="20"/>
          <w:szCs w:val="20"/>
        </w:rPr>
        <w:t xml:space="preserve"> of the company and related individuals are responsible for the implementa</w:t>
      </w:r>
      <w:bookmarkStart w:id="0" w:name="_GoBack"/>
      <w:bookmarkEnd w:id="0"/>
      <w:r w:rsidRPr="00537A65">
        <w:rPr>
          <w:rFonts w:ascii="Arial" w:hAnsi="Arial" w:cs="Arial"/>
          <w:sz w:val="20"/>
          <w:szCs w:val="20"/>
        </w:rPr>
        <w:t>tion of this Resolution</w:t>
      </w:r>
    </w:p>
    <w:sectPr w:rsidR="00537A65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B6316"/>
    <w:rsid w:val="001C7CD2"/>
    <w:rsid w:val="001D5E4A"/>
    <w:rsid w:val="001E4B88"/>
    <w:rsid w:val="001E707C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2F6AA2"/>
    <w:rsid w:val="002F7FD6"/>
    <w:rsid w:val="00304722"/>
    <w:rsid w:val="0030503E"/>
    <w:rsid w:val="0031274D"/>
    <w:rsid w:val="00313973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D18D5"/>
    <w:rsid w:val="003D6664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77CB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6B6"/>
    <w:rsid w:val="004C7A9A"/>
    <w:rsid w:val="004D0907"/>
    <w:rsid w:val="004E0EC1"/>
    <w:rsid w:val="004E4C16"/>
    <w:rsid w:val="004E52BB"/>
    <w:rsid w:val="004E6C02"/>
    <w:rsid w:val="00503DD6"/>
    <w:rsid w:val="00505065"/>
    <w:rsid w:val="00523164"/>
    <w:rsid w:val="0052379D"/>
    <w:rsid w:val="0053093D"/>
    <w:rsid w:val="00537A65"/>
    <w:rsid w:val="0055067A"/>
    <w:rsid w:val="00551A83"/>
    <w:rsid w:val="005610CB"/>
    <w:rsid w:val="00567B98"/>
    <w:rsid w:val="00576325"/>
    <w:rsid w:val="00576A91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0170"/>
    <w:rsid w:val="005C57E0"/>
    <w:rsid w:val="005D7F9C"/>
    <w:rsid w:val="005E02E3"/>
    <w:rsid w:val="005E3246"/>
    <w:rsid w:val="005E4166"/>
    <w:rsid w:val="005E7B32"/>
    <w:rsid w:val="005E7E24"/>
    <w:rsid w:val="005F7ED5"/>
    <w:rsid w:val="006000D8"/>
    <w:rsid w:val="00611CF6"/>
    <w:rsid w:val="0063035E"/>
    <w:rsid w:val="0063581B"/>
    <w:rsid w:val="006374A1"/>
    <w:rsid w:val="00637727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74C0C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C6446"/>
    <w:rsid w:val="007D0E0A"/>
    <w:rsid w:val="007E003D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1309"/>
    <w:rsid w:val="008134FC"/>
    <w:rsid w:val="00820E58"/>
    <w:rsid w:val="008325B1"/>
    <w:rsid w:val="00833FE6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6C9B"/>
    <w:rsid w:val="00BD3CCA"/>
    <w:rsid w:val="00BD6969"/>
    <w:rsid w:val="00BF0485"/>
    <w:rsid w:val="00BF1D5F"/>
    <w:rsid w:val="00C02706"/>
    <w:rsid w:val="00C045DB"/>
    <w:rsid w:val="00C1436B"/>
    <w:rsid w:val="00C1501F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839AB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17A5"/>
    <w:rsid w:val="00D651E1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130EE"/>
    <w:rsid w:val="00E13C77"/>
    <w:rsid w:val="00E17016"/>
    <w:rsid w:val="00E20A0F"/>
    <w:rsid w:val="00E24F0A"/>
    <w:rsid w:val="00E27923"/>
    <w:rsid w:val="00E356A2"/>
    <w:rsid w:val="00E35884"/>
    <w:rsid w:val="00E44453"/>
    <w:rsid w:val="00E47B26"/>
    <w:rsid w:val="00E51F4E"/>
    <w:rsid w:val="00E53A5C"/>
    <w:rsid w:val="00E5565D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0776D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494A"/>
    <w:rsid w:val="00F65F0C"/>
    <w:rsid w:val="00F67A3D"/>
    <w:rsid w:val="00F733D8"/>
    <w:rsid w:val="00F74558"/>
    <w:rsid w:val="00F74BD1"/>
    <w:rsid w:val="00F75293"/>
    <w:rsid w:val="00F805BD"/>
    <w:rsid w:val="00F80FFF"/>
    <w:rsid w:val="00F81BE4"/>
    <w:rsid w:val="00F85783"/>
    <w:rsid w:val="00F85A34"/>
    <w:rsid w:val="00F86F51"/>
    <w:rsid w:val="00F86F7A"/>
    <w:rsid w:val="00F903A5"/>
    <w:rsid w:val="00FA0106"/>
    <w:rsid w:val="00FA6F79"/>
    <w:rsid w:val="00FB3CD7"/>
    <w:rsid w:val="00FC153A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4B8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397</cp:revision>
  <dcterms:created xsi:type="dcterms:W3CDTF">2019-10-16T10:03:00Z</dcterms:created>
  <dcterms:modified xsi:type="dcterms:W3CDTF">2020-07-26T04:22:00Z</dcterms:modified>
</cp:coreProperties>
</file>